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5419" w14:textId="77777777" w:rsidR="00CC202C" w:rsidRPr="000C203D" w:rsidRDefault="00D10984">
      <w:pPr>
        <w:spacing w:after="220" w:line="276" w:lineRule="auto"/>
        <w:ind w:left="660"/>
        <w:jc w:val="center"/>
        <w:rPr>
          <w:rFonts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32"/>
          <w:szCs w:val="32"/>
        </w:rPr>
        <w:t>НОМИНАЦИЯ: ИС</w:t>
      </w:r>
      <w:r w:rsidRPr="000C203D">
        <w:rPr>
          <w:rFonts w:ascii="Arial" w:hAnsi="Arial" w:cs="Arial"/>
          <w:b/>
          <w:sz w:val="32"/>
          <w:szCs w:val="32"/>
        </w:rPr>
        <w:t>ТОРИЧЕСКИЕ ДУХОВЫЕ ИНСТРУМЕНТЫ</w:t>
      </w:r>
      <w:r w:rsidRPr="000C203D">
        <w:rPr>
          <w:rFonts w:ascii="Arial" w:hAnsi="Arial" w:cs="Arial"/>
          <w:b/>
          <w:sz w:val="27"/>
          <w:szCs w:val="27"/>
        </w:rPr>
        <w:br/>
      </w:r>
      <w:r w:rsidRPr="000C203D">
        <w:rPr>
          <w:rFonts w:ascii="Arial" w:hAnsi="Arial" w:cs="Arial"/>
          <w:b/>
          <w:sz w:val="32"/>
          <w:szCs w:val="32"/>
        </w:rPr>
        <w:t xml:space="preserve">(блокфлейта, </w:t>
      </w:r>
      <w:proofErr w:type="spellStart"/>
      <w:r w:rsidRPr="000C203D">
        <w:rPr>
          <w:rFonts w:ascii="Arial" w:hAnsi="Arial" w:cs="Arial"/>
          <w:b/>
          <w:sz w:val="32"/>
          <w:szCs w:val="32"/>
        </w:rPr>
        <w:t>траверсфлейта</w:t>
      </w:r>
      <w:proofErr w:type="spellEnd"/>
      <w:r w:rsidRPr="000C203D">
        <w:rPr>
          <w:rFonts w:ascii="Arial" w:hAnsi="Arial" w:cs="Arial"/>
          <w:b/>
          <w:sz w:val="32"/>
          <w:szCs w:val="32"/>
        </w:rPr>
        <w:t>, барочный гобой, барочный фагот)</w:t>
      </w:r>
    </w:p>
    <w:p w14:paraId="71FF15A6" w14:textId="77777777" w:rsidR="00CC202C" w:rsidRPr="000C203D" w:rsidRDefault="00D10984">
      <w:pPr>
        <w:spacing w:after="220"/>
        <w:rPr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br/>
        <w:t>Председатель жюри</w:t>
      </w:r>
      <w:r w:rsidRPr="000C203D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0C203D">
        <w:rPr>
          <w:rFonts w:ascii="Arial" w:hAnsi="Arial" w:cs="Arial"/>
          <w:b/>
          <w:bCs/>
          <w:sz w:val="27"/>
          <w:szCs w:val="27"/>
        </w:rPr>
        <w:t>Нодель</w:t>
      </w:r>
      <w:proofErr w:type="spellEnd"/>
      <w:r w:rsidRPr="000C203D">
        <w:rPr>
          <w:rFonts w:ascii="Arial" w:hAnsi="Arial" w:cs="Arial"/>
          <w:b/>
          <w:bCs/>
          <w:sz w:val="27"/>
          <w:szCs w:val="27"/>
        </w:rPr>
        <w:t xml:space="preserve"> Филипп Викторович (гобой)</w:t>
      </w:r>
      <w:r w:rsidRPr="000C203D">
        <w:rPr>
          <w:rFonts w:ascii="Arial" w:hAnsi="Arial" w:cs="Arial"/>
          <w:sz w:val="27"/>
          <w:szCs w:val="27"/>
        </w:rPr>
        <w:t xml:space="preserve"> - Один из основателей первого российского оркестра исторических инструментов </w:t>
      </w:r>
      <w:proofErr w:type="spellStart"/>
      <w:r w:rsidRPr="000C203D">
        <w:rPr>
          <w:rFonts w:ascii="Arial" w:hAnsi="Arial" w:cs="Arial"/>
          <w:sz w:val="27"/>
          <w:szCs w:val="27"/>
        </w:rPr>
        <w:t>Pratum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C203D">
        <w:rPr>
          <w:rFonts w:ascii="Arial" w:hAnsi="Arial" w:cs="Arial"/>
          <w:sz w:val="27"/>
          <w:szCs w:val="27"/>
        </w:rPr>
        <w:t>Integrum</w:t>
      </w:r>
      <w:proofErr w:type="spellEnd"/>
      <w:r w:rsidRPr="000C203D">
        <w:rPr>
          <w:rFonts w:ascii="Arial" w:hAnsi="Arial" w:cs="Arial"/>
          <w:sz w:val="27"/>
          <w:szCs w:val="27"/>
        </w:rPr>
        <w:t>, организатор духово</w:t>
      </w:r>
      <w:r w:rsidRPr="000C203D">
        <w:rPr>
          <w:rFonts w:ascii="Arial" w:hAnsi="Arial" w:cs="Arial"/>
          <w:sz w:val="27"/>
          <w:szCs w:val="27"/>
        </w:rPr>
        <w:t>го ансамбля «</w:t>
      </w:r>
      <w:proofErr w:type="spellStart"/>
      <w:r w:rsidRPr="000C203D">
        <w:rPr>
          <w:rFonts w:ascii="Arial" w:hAnsi="Arial" w:cs="Arial"/>
          <w:sz w:val="27"/>
          <w:szCs w:val="27"/>
        </w:rPr>
        <w:t>L’esprit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C203D">
        <w:rPr>
          <w:rFonts w:ascii="Arial" w:hAnsi="Arial" w:cs="Arial"/>
          <w:sz w:val="27"/>
          <w:szCs w:val="27"/>
        </w:rPr>
        <w:t>du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C203D">
        <w:rPr>
          <w:rFonts w:ascii="Arial" w:hAnsi="Arial" w:cs="Arial"/>
          <w:sz w:val="27"/>
          <w:szCs w:val="27"/>
        </w:rPr>
        <w:t>Vent</w:t>
      </w:r>
      <w:proofErr w:type="spellEnd"/>
      <w:r w:rsidRPr="000C203D">
        <w:rPr>
          <w:rFonts w:ascii="Arial" w:hAnsi="Arial" w:cs="Arial"/>
          <w:sz w:val="27"/>
          <w:szCs w:val="27"/>
        </w:rPr>
        <w:t>» («Дух Ветра»). Доцент кафедры струнных, духовых и ударных инструментов и кафедры деревянных духовых инструментов Московской государственной консерватории имени П.И. Чайковского. Преподаватель АМУ при МГК имени П.И. Чайковског</w:t>
      </w:r>
      <w:r w:rsidRPr="000C203D">
        <w:rPr>
          <w:rFonts w:ascii="Arial" w:hAnsi="Arial" w:cs="Arial"/>
          <w:sz w:val="27"/>
          <w:szCs w:val="27"/>
        </w:rPr>
        <w:t>о.</w:t>
      </w:r>
    </w:p>
    <w:p w14:paraId="61EE87F3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bCs/>
          <w:sz w:val="27"/>
          <w:szCs w:val="27"/>
        </w:rPr>
      </w:pPr>
      <w:r w:rsidRPr="000C203D">
        <w:rPr>
          <w:rFonts w:ascii="Arial" w:hAnsi="Arial" w:cs="Arial"/>
          <w:b/>
          <w:bCs/>
          <w:sz w:val="27"/>
          <w:szCs w:val="27"/>
        </w:rPr>
        <w:t xml:space="preserve">Члены жюри: </w:t>
      </w:r>
    </w:p>
    <w:p w14:paraId="16E25EDB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b/>
          <w:bCs/>
          <w:sz w:val="27"/>
          <w:szCs w:val="27"/>
        </w:rPr>
        <w:t xml:space="preserve">Борковская Дарья </w:t>
      </w:r>
      <w:proofErr w:type="spellStart"/>
      <w:r w:rsidRPr="000C203D">
        <w:rPr>
          <w:rFonts w:ascii="Arial" w:hAnsi="Arial" w:cs="Arial"/>
          <w:b/>
          <w:bCs/>
          <w:sz w:val="27"/>
          <w:szCs w:val="27"/>
        </w:rPr>
        <w:t>Aлександровна</w:t>
      </w:r>
      <w:proofErr w:type="spellEnd"/>
      <w:r w:rsidRPr="000C203D">
        <w:rPr>
          <w:rFonts w:ascii="Arial" w:hAnsi="Arial" w:cs="Arial"/>
          <w:b/>
          <w:bCs/>
          <w:sz w:val="27"/>
          <w:szCs w:val="27"/>
        </w:rPr>
        <w:t xml:space="preserve"> (фортепиано, клавесин)</w:t>
      </w:r>
      <w:r w:rsidRPr="000C203D">
        <w:rPr>
          <w:rFonts w:ascii="Arial" w:hAnsi="Arial" w:cs="Arial"/>
          <w:sz w:val="27"/>
          <w:szCs w:val="27"/>
        </w:rPr>
        <w:t xml:space="preserve"> - Лауреат международных конкурсов, </w:t>
      </w:r>
      <w:proofErr w:type="spellStart"/>
      <w:r w:rsidRPr="000C203D">
        <w:rPr>
          <w:rFonts w:ascii="Arial" w:hAnsi="Arial" w:cs="Arial"/>
          <w:sz w:val="27"/>
          <w:szCs w:val="27"/>
        </w:rPr>
        <w:t>клавесинистка</w:t>
      </w:r>
      <w:proofErr w:type="spellEnd"/>
      <w:r w:rsidRPr="000C203D">
        <w:rPr>
          <w:rFonts w:ascii="Arial" w:hAnsi="Arial" w:cs="Arial"/>
          <w:sz w:val="27"/>
          <w:szCs w:val="27"/>
        </w:rPr>
        <w:t>, исполнительница на исторических клавирах, пианистка. доцент кафедры клавишных инструментов ФИСИИ Московской Государственной Консерватори</w:t>
      </w:r>
      <w:r w:rsidRPr="000C203D">
        <w:rPr>
          <w:rFonts w:ascii="Arial" w:hAnsi="Arial" w:cs="Arial"/>
          <w:sz w:val="27"/>
          <w:szCs w:val="27"/>
        </w:rPr>
        <w:t xml:space="preserve">и им. </w:t>
      </w:r>
      <w:proofErr w:type="spellStart"/>
      <w:r w:rsidRPr="000C203D">
        <w:rPr>
          <w:rFonts w:ascii="Arial" w:hAnsi="Arial" w:cs="Arial"/>
          <w:sz w:val="27"/>
          <w:szCs w:val="27"/>
        </w:rPr>
        <w:t>П.И.Чайковского</w:t>
      </w:r>
      <w:proofErr w:type="spellEnd"/>
      <w:r w:rsidRPr="000C203D">
        <w:rPr>
          <w:rFonts w:ascii="Arial" w:hAnsi="Arial" w:cs="Arial"/>
          <w:sz w:val="27"/>
          <w:szCs w:val="27"/>
        </w:rPr>
        <w:t>. Основатель и руководитель ансамбля "</w:t>
      </w:r>
      <w:proofErr w:type="spellStart"/>
      <w:r w:rsidRPr="000C203D">
        <w:rPr>
          <w:rFonts w:ascii="Arial" w:hAnsi="Arial" w:cs="Arial"/>
          <w:sz w:val="27"/>
          <w:szCs w:val="27"/>
        </w:rPr>
        <w:t>Musica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C203D">
        <w:rPr>
          <w:rFonts w:ascii="Arial" w:hAnsi="Arial" w:cs="Arial"/>
          <w:sz w:val="27"/>
          <w:szCs w:val="27"/>
        </w:rPr>
        <w:t>Tempora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". </w:t>
      </w:r>
    </w:p>
    <w:p w14:paraId="055DA86A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b/>
          <w:bCs/>
          <w:sz w:val="27"/>
          <w:szCs w:val="27"/>
        </w:rPr>
        <w:t>Кривенко Диана Романовна (флейта, флейта-</w:t>
      </w:r>
      <w:proofErr w:type="spellStart"/>
      <w:r w:rsidRPr="000C203D">
        <w:rPr>
          <w:rFonts w:ascii="Arial" w:hAnsi="Arial" w:cs="Arial"/>
          <w:b/>
          <w:bCs/>
          <w:sz w:val="27"/>
          <w:szCs w:val="27"/>
        </w:rPr>
        <w:t>траверсо</w:t>
      </w:r>
      <w:proofErr w:type="spellEnd"/>
      <w:r w:rsidRPr="000C203D">
        <w:rPr>
          <w:rFonts w:ascii="Arial" w:hAnsi="Arial" w:cs="Arial"/>
          <w:b/>
          <w:bCs/>
          <w:sz w:val="27"/>
          <w:szCs w:val="27"/>
        </w:rPr>
        <w:t>)</w:t>
      </w:r>
      <w:r w:rsidRPr="000C203D">
        <w:rPr>
          <w:rFonts w:ascii="Arial" w:hAnsi="Arial" w:cs="Arial"/>
          <w:sz w:val="27"/>
          <w:szCs w:val="27"/>
        </w:rPr>
        <w:t xml:space="preserve"> – Участник международных фестивалей и мастер-классов. Преподаватель по классу флейты и заведующая отделением оркестровых духовых</w:t>
      </w:r>
      <w:r w:rsidRPr="000C203D">
        <w:rPr>
          <w:rFonts w:ascii="Arial" w:hAnsi="Arial" w:cs="Arial"/>
          <w:sz w:val="27"/>
          <w:szCs w:val="27"/>
        </w:rPr>
        <w:t xml:space="preserve"> и ударных инструментов МССМШ им. Гнесиных. Создатель, идейный вдохновитель и художественный руководитель «Московской Барочной академии в Гнесинке» и «Ансамбля </w:t>
      </w:r>
      <w:proofErr w:type="spellStart"/>
      <w:r w:rsidRPr="000C203D">
        <w:rPr>
          <w:rFonts w:ascii="Arial" w:hAnsi="Arial" w:cs="Arial"/>
          <w:sz w:val="27"/>
          <w:szCs w:val="27"/>
        </w:rPr>
        <w:t>Гнесинской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барочной академии». Руководитель флейтовых проектов </w:t>
      </w:r>
      <w:proofErr w:type="spellStart"/>
      <w:r w:rsidRPr="000C203D">
        <w:rPr>
          <w:rFonts w:ascii="Arial" w:hAnsi="Arial" w:cs="Arial"/>
          <w:sz w:val="27"/>
          <w:szCs w:val="27"/>
        </w:rPr>
        <w:t>Flute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C203D">
        <w:rPr>
          <w:rFonts w:ascii="Arial" w:hAnsi="Arial" w:cs="Arial"/>
          <w:sz w:val="27"/>
          <w:szCs w:val="27"/>
        </w:rPr>
        <w:t>Generation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XXI и ансамбля </w:t>
      </w:r>
      <w:proofErr w:type="spellStart"/>
      <w:r w:rsidRPr="000C203D">
        <w:rPr>
          <w:rFonts w:ascii="Arial" w:hAnsi="Arial" w:cs="Arial"/>
          <w:sz w:val="27"/>
          <w:szCs w:val="27"/>
        </w:rPr>
        <w:t>G</w:t>
      </w:r>
      <w:r w:rsidRPr="000C203D">
        <w:rPr>
          <w:rFonts w:ascii="Arial" w:hAnsi="Arial" w:cs="Arial"/>
          <w:sz w:val="27"/>
          <w:szCs w:val="27"/>
        </w:rPr>
        <w:t>nessin</w:t>
      </w:r>
      <w:proofErr w:type="spellEnd"/>
      <w:r w:rsidRPr="000C203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C203D">
        <w:rPr>
          <w:rFonts w:ascii="Arial" w:hAnsi="Arial" w:cs="Arial"/>
          <w:sz w:val="27"/>
          <w:szCs w:val="27"/>
        </w:rPr>
        <w:t>Flutes</w:t>
      </w:r>
      <w:proofErr w:type="spellEnd"/>
      <w:r w:rsidRPr="000C203D">
        <w:rPr>
          <w:rFonts w:ascii="Arial" w:hAnsi="Arial" w:cs="Arial"/>
          <w:sz w:val="27"/>
          <w:szCs w:val="27"/>
        </w:rPr>
        <w:t>.</w:t>
      </w:r>
    </w:p>
    <w:p w14:paraId="7512AE77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>Условия конкурса</w:t>
      </w:r>
    </w:p>
    <w:p w14:paraId="68BC01C4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Для участия допускаются музыканты-исполнители – учащиеся детских музыкальных школ, школ искусств, специальных музыкальных школ, студенты средних специальных профессиональных музыкальных учебных заведений, студенты и </w:t>
      </w:r>
      <w:r w:rsidRPr="000C203D">
        <w:rPr>
          <w:rFonts w:ascii="Arial" w:hAnsi="Arial" w:cs="Arial"/>
          <w:sz w:val="27"/>
          <w:szCs w:val="27"/>
        </w:rPr>
        <w:t>ассистенты-стажеры профильных музыкальных Высших учебных заведений.</w:t>
      </w:r>
    </w:p>
    <w:p w14:paraId="0F9CA3D5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>Конкурс проводится в двух возрастных группах:</w:t>
      </w:r>
    </w:p>
    <w:p w14:paraId="0745DDE0" w14:textId="77777777" w:rsidR="00CC202C" w:rsidRPr="000C203D" w:rsidRDefault="00D10984">
      <w:pPr>
        <w:numPr>
          <w:ilvl w:val="0"/>
          <w:numId w:val="5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Средняя возрастная группа – 14–18 лет</w:t>
      </w:r>
    </w:p>
    <w:p w14:paraId="1E5D9665" w14:textId="77777777" w:rsidR="00CC202C" w:rsidRPr="000C203D" w:rsidRDefault="00D10984">
      <w:pPr>
        <w:numPr>
          <w:ilvl w:val="0"/>
          <w:numId w:val="5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lastRenderedPageBreak/>
        <w:t>Старшая возрастная группа – 19–25 лет</w:t>
      </w:r>
    </w:p>
    <w:p w14:paraId="075F6721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Возраст участника конкурса определяется на начало первого тура – </w:t>
      </w:r>
      <w:r w:rsidRPr="000C203D">
        <w:rPr>
          <w:rFonts w:ascii="Arial" w:hAnsi="Arial" w:cs="Arial"/>
          <w:b/>
          <w:sz w:val="27"/>
          <w:szCs w:val="27"/>
        </w:rPr>
        <w:t>0</w:t>
      </w:r>
      <w:r w:rsidRPr="000C203D">
        <w:rPr>
          <w:rFonts w:ascii="Arial" w:hAnsi="Arial" w:cs="Arial"/>
          <w:b/>
          <w:sz w:val="27"/>
          <w:szCs w:val="27"/>
        </w:rPr>
        <w:t>4 декабря 2024 года.</w:t>
      </w:r>
    </w:p>
    <w:p w14:paraId="72040692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 xml:space="preserve">Учащиеся средних специальных музыкальных школ выделяются в отдельные конкурсные группы вышеуказанных возрастных категорий. </w:t>
      </w:r>
    </w:p>
    <w:p w14:paraId="1F7D07FA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Прием заявок осуществляется с </w:t>
      </w:r>
      <w:r w:rsidRPr="000C203D">
        <w:rPr>
          <w:rFonts w:ascii="Arial" w:hAnsi="Arial" w:cs="Arial"/>
          <w:b/>
          <w:sz w:val="27"/>
          <w:szCs w:val="27"/>
        </w:rPr>
        <w:t>01 ноября по 02 декабря 2024 г.</w:t>
      </w:r>
      <w:r w:rsidRPr="000C203D">
        <w:rPr>
          <w:rFonts w:ascii="Arial" w:hAnsi="Arial" w:cs="Arial"/>
          <w:sz w:val="27"/>
          <w:szCs w:val="27"/>
        </w:rPr>
        <w:t xml:space="preserve"> включительно. </w:t>
      </w:r>
    </w:p>
    <w:p w14:paraId="1AA7BBE4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Конкурс проводится в 2 тура. </w:t>
      </w:r>
    </w:p>
    <w:p w14:paraId="2FDFEAE7" w14:textId="77777777" w:rsidR="00CC202C" w:rsidRPr="000C203D" w:rsidRDefault="00D10984">
      <w:pPr>
        <w:numPr>
          <w:ilvl w:val="0"/>
          <w:numId w:val="6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1-й </w:t>
      </w:r>
      <w:r w:rsidRPr="000C203D">
        <w:rPr>
          <w:rFonts w:ascii="Arial" w:hAnsi="Arial" w:cs="Arial"/>
          <w:sz w:val="27"/>
          <w:szCs w:val="27"/>
        </w:rPr>
        <w:t>тур – дистанционно (04–25 декабря 2024 г.)</w:t>
      </w:r>
    </w:p>
    <w:p w14:paraId="3C4367ED" w14:textId="77777777" w:rsidR="00CC202C" w:rsidRPr="000C203D" w:rsidRDefault="00D10984">
      <w:pPr>
        <w:numPr>
          <w:ilvl w:val="0"/>
          <w:numId w:val="6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2-й тур – очно и дистанционно (01–07 февраля 2025 г.)</w:t>
      </w:r>
      <w:bookmarkStart w:id="0" w:name="_Hlk169858550"/>
      <w:r w:rsidRPr="000C203D">
        <w:rPr>
          <w:sz w:val="27"/>
          <w:szCs w:val="27"/>
        </w:rPr>
        <w:t xml:space="preserve"> </w:t>
      </w:r>
      <w:r w:rsidRPr="000C203D">
        <w:rPr>
          <w:rFonts w:ascii="Arial" w:hAnsi="Arial" w:cs="Arial"/>
          <w:sz w:val="27"/>
          <w:szCs w:val="27"/>
        </w:rPr>
        <w:t>Участники из Москвы и Московской области участвуют во 2-м туре только очно.</w:t>
      </w:r>
      <w:bookmarkEnd w:id="0"/>
    </w:p>
    <w:p w14:paraId="00F6B7EF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Формат участия (очно или дистанционно) определяется форматом участия во втором туре</w:t>
      </w:r>
      <w:r w:rsidRPr="000C203D">
        <w:rPr>
          <w:rFonts w:ascii="Arial" w:hAnsi="Arial" w:cs="Arial"/>
          <w:sz w:val="27"/>
          <w:szCs w:val="27"/>
        </w:rPr>
        <w:t xml:space="preserve"> </w:t>
      </w:r>
      <w:r w:rsidRPr="000C203D">
        <w:rPr>
          <w:rFonts w:ascii="Arial" w:hAnsi="Arial" w:cs="Arial"/>
          <w:b/>
          <w:bCs/>
          <w:sz w:val="27"/>
          <w:szCs w:val="27"/>
          <w:u w:val="single"/>
        </w:rPr>
        <w:t>и указывается при подаче заявки</w:t>
      </w:r>
      <w:r w:rsidRPr="000C203D">
        <w:rPr>
          <w:rFonts w:ascii="Arial" w:hAnsi="Arial" w:cs="Arial"/>
          <w:sz w:val="27"/>
          <w:szCs w:val="27"/>
        </w:rPr>
        <w:t xml:space="preserve"> на участие в конкурсе. Формат участия после подачи заявки не может быть изменен. </w:t>
      </w:r>
    </w:p>
    <w:p w14:paraId="13FAEE38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При подаче заявки указываются программы </w:t>
      </w:r>
      <w:r w:rsidRPr="000C203D">
        <w:rPr>
          <w:rFonts w:ascii="Arial" w:hAnsi="Arial" w:cs="Arial"/>
          <w:b/>
          <w:bCs/>
          <w:sz w:val="27"/>
          <w:szCs w:val="27"/>
        </w:rPr>
        <w:t>первого и второго тура</w:t>
      </w:r>
      <w:r w:rsidRPr="000C203D">
        <w:rPr>
          <w:rFonts w:ascii="Arial" w:hAnsi="Arial" w:cs="Arial"/>
          <w:sz w:val="27"/>
          <w:szCs w:val="27"/>
        </w:rPr>
        <w:t xml:space="preserve">. </w:t>
      </w:r>
    </w:p>
    <w:p w14:paraId="1C919C22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К участию во 2-м туре допускается не более 50% участников, успешно прошедших</w:t>
      </w:r>
      <w:r w:rsidRPr="000C203D">
        <w:rPr>
          <w:rFonts w:ascii="Arial" w:hAnsi="Arial" w:cs="Arial"/>
          <w:sz w:val="27"/>
          <w:szCs w:val="27"/>
        </w:rPr>
        <w:t xml:space="preserve"> 1-й тур конкурсных прослушиваний.</w:t>
      </w:r>
    </w:p>
    <w:p w14:paraId="191F95C4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bookmarkStart w:id="1" w:name="_Hlk169858584"/>
      <w:bookmarkStart w:id="2" w:name="_Hlk169857278"/>
      <w:r w:rsidRPr="000C203D">
        <w:rPr>
          <w:rFonts w:ascii="Arial" w:hAnsi="Arial" w:cs="Arial"/>
          <w:sz w:val="27"/>
          <w:szCs w:val="27"/>
        </w:rPr>
        <w:t>Для первого и второго (дистанционного) туров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Представляемые видеозапис</w:t>
      </w:r>
      <w:r w:rsidRPr="000C203D">
        <w:rPr>
          <w:rFonts w:ascii="Arial" w:hAnsi="Arial" w:cs="Arial"/>
          <w:sz w:val="27"/>
          <w:szCs w:val="27"/>
        </w:rPr>
        <w:t>и должны быть доступны до окончания конкурса.</w:t>
      </w:r>
      <w:r w:rsidRPr="000C203D">
        <w:rPr>
          <w:rFonts w:ascii="Arial" w:hAnsi="Arial" w:cs="Arial"/>
          <w:sz w:val="27"/>
          <w:szCs w:val="27"/>
        </w:rPr>
        <w:br/>
        <w:t xml:space="preserve">Принимается актуальная запись, сделанная не ранее 01 января 2024 года. </w:t>
      </w:r>
      <w:r w:rsidRPr="000C203D">
        <w:rPr>
          <w:rFonts w:ascii="Arial" w:hAnsi="Arial" w:cs="Arial"/>
          <w:sz w:val="27"/>
          <w:szCs w:val="27"/>
        </w:rPr>
        <w:br/>
        <w:t>Программа первого и второго (дистанционного) туров может быть записана как одним файлом, так и двумя. Видеозапись не может быть подвергнут</w:t>
      </w:r>
      <w:r w:rsidRPr="000C203D">
        <w:rPr>
          <w:rFonts w:ascii="Arial" w:hAnsi="Arial" w:cs="Arial"/>
          <w:sz w:val="27"/>
          <w:szCs w:val="27"/>
        </w:rPr>
        <w:t>а редактированию и дополнительной технической обработке.</w:t>
      </w:r>
      <w:bookmarkEnd w:id="1"/>
    </w:p>
    <w:bookmarkEnd w:id="2"/>
    <w:p w14:paraId="6BC12E05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>Конкурсные требования по программе выступлений:</w:t>
      </w:r>
    </w:p>
    <w:p w14:paraId="6D0F65A5" w14:textId="77777777" w:rsidR="00CC202C" w:rsidRPr="000C203D" w:rsidRDefault="00D10984">
      <w:pPr>
        <w:shd w:val="clear" w:color="auto" w:fill="FFFFFF"/>
        <w:spacing w:after="100" w:line="240" w:lineRule="auto"/>
        <w:rPr>
          <w:rFonts w:ascii="Arial" w:hAnsi="Arial" w:cs="Arial"/>
          <w:kern w:val="0"/>
          <w:sz w:val="27"/>
          <w:szCs w:val="27"/>
        </w:rPr>
      </w:pPr>
      <w:r w:rsidRPr="000C203D">
        <w:rPr>
          <w:rFonts w:ascii="Arial" w:hAnsi="Arial" w:cs="Arial"/>
          <w:b/>
          <w:bCs/>
          <w:color w:val="212121"/>
          <w:kern w:val="0"/>
          <w:sz w:val="27"/>
          <w:szCs w:val="27"/>
        </w:rPr>
        <w:t>Первый тур:</w:t>
      </w:r>
    </w:p>
    <w:p w14:paraId="02BB5BDD" w14:textId="77777777" w:rsidR="00CC202C" w:rsidRPr="000C203D" w:rsidRDefault="00CC202C">
      <w:pPr>
        <w:shd w:val="clear" w:color="auto" w:fill="FFFFFF"/>
        <w:spacing w:after="100" w:line="240" w:lineRule="auto"/>
        <w:rPr>
          <w:rFonts w:ascii="Arial" w:hAnsi="Arial" w:cs="Arial"/>
          <w:b/>
          <w:bCs/>
          <w:color w:val="212121"/>
          <w:kern w:val="0"/>
          <w:sz w:val="27"/>
          <w:szCs w:val="27"/>
        </w:rPr>
      </w:pPr>
    </w:p>
    <w:p w14:paraId="68BFD692" w14:textId="77777777" w:rsidR="00CC202C" w:rsidRPr="000C203D" w:rsidRDefault="00D10984">
      <w:pPr>
        <w:shd w:val="clear" w:color="auto" w:fill="FFFFFF"/>
        <w:spacing w:after="100" w:line="240" w:lineRule="auto"/>
        <w:rPr>
          <w:rFonts w:ascii="Arial" w:eastAsia="Tahoma" w:hAnsi="Arial" w:cs="Arial"/>
          <w:color w:val="212121"/>
          <w:kern w:val="0"/>
          <w:sz w:val="27"/>
          <w:szCs w:val="27"/>
        </w:rPr>
      </w:pPr>
      <w:r w:rsidRPr="000C203D">
        <w:rPr>
          <w:rFonts w:ascii="Arial" w:hAnsi="Arial" w:cs="Arial"/>
          <w:b/>
          <w:bCs/>
          <w:color w:val="212121"/>
          <w:kern w:val="0"/>
          <w:sz w:val="27"/>
          <w:szCs w:val="27"/>
        </w:rPr>
        <w:t>Средняя</w:t>
      </w:r>
      <w:r w:rsidRPr="000C203D">
        <w:rPr>
          <w:rFonts w:ascii="Arial" w:hAnsi="Arial" w:cs="Arial"/>
          <w:color w:val="212121"/>
          <w:kern w:val="0"/>
          <w:sz w:val="27"/>
          <w:szCs w:val="27"/>
        </w:rPr>
        <w:t> возрастная группа:</w:t>
      </w:r>
    </w:p>
    <w:p w14:paraId="22977C1B" w14:textId="77777777" w:rsidR="00CC202C" w:rsidRPr="000C203D" w:rsidRDefault="00D10984">
      <w:pPr>
        <w:shd w:val="clear" w:color="auto" w:fill="FFFFFF"/>
        <w:spacing w:after="100" w:line="240" w:lineRule="auto"/>
        <w:ind w:firstLine="36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2 разнохарактерных сочинения:</w:t>
      </w:r>
    </w:p>
    <w:p w14:paraId="2880D2DB" w14:textId="77777777" w:rsidR="00CC202C" w:rsidRPr="000C203D" w:rsidRDefault="00D10984">
      <w:pPr>
        <w:pStyle w:val="a8"/>
        <w:numPr>
          <w:ilvl w:val="0"/>
          <w:numId w:val="7"/>
        </w:numPr>
        <w:shd w:val="clear" w:color="auto" w:fill="FFFFFF"/>
        <w:spacing w:before="100" w:after="100" w:line="240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произведение западноевропейского композитора эпохи Барокко;</w:t>
      </w:r>
    </w:p>
    <w:p w14:paraId="7125D420" w14:textId="77777777" w:rsidR="00CC202C" w:rsidRPr="000C203D" w:rsidRDefault="00D10984">
      <w:pPr>
        <w:pStyle w:val="a8"/>
        <w:numPr>
          <w:ilvl w:val="0"/>
          <w:numId w:val="7"/>
        </w:numPr>
        <w:shd w:val="clear" w:color="auto" w:fill="FFFFFF"/>
        <w:spacing w:before="100" w:after="100" w:line="240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одна из сонат Г.Ф. </w:t>
      </w:r>
      <w:proofErr w:type="spellStart"/>
      <w:r w:rsidRPr="000C203D">
        <w:rPr>
          <w:rFonts w:ascii="Arial" w:hAnsi="Arial" w:cs="Arial"/>
          <w:sz w:val="27"/>
          <w:szCs w:val="27"/>
        </w:rPr>
        <w:t>Телемана</w:t>
      </w:r>
      <w:proofErr w:type="spellEnd"/>
    </w:p>
    <w:p w14:paraId="5347D525" w14:textId="77777777" w:rsidR="00CC202C" w:rsidRPr="000C203D" w:rsidRDefault="00CC202C">
      <w:pPr>
        <w:shd w:val="clear" w:color="auto" w:fill="FFFFFF"/>
        <w:spacing w:after="100" w:line="240" w:lineRule="auto"/>
        <w:rPr>
          <w:rFonts w:ascii="Arial" w:hAnsi="Arial" w:cs="Arial"/>
          <w:b/>
          <w:bCs/>
          <w:color w:val="212121"/>
          <w:kern w:val="0"/>
          <w:sz w:val="27"/>
          <w:szCs w:val="27"/>
        </w:rPr>
      </w:pPr>
    </w:p>
    <w:p w14:paraId="05C8E0A9" w14:textId="77777777" w:rsidR="00CC202C" w:rsidRPr="000C203D" w:rsidRDefault="00D10984">
      <w:pPr>
        <w:shd w:val="clear" w:color="auto" w:fill="FFFFFF"/>
        <w:spacing w:after="100" w:line="240" w:lineRule="auto"/>
        <w:rPr>
          <w:rFonts w:ascii="Arial" w:eastAsia="Tahoma" w:hAnsi="Arial" w:cs="Arial"/>
          <w:color w:val="212121"/>
          <w:kern w:val="0"/>
          <w:sz w:val="27"/>
          <w:szCs w:val="27"/>
        </w:rPr>
      </w:pPr>
      <w:r w:rsidRPr="000C203D">
        <w:rPr>
          <w:rFonts w:ascii="Arial" w:hAnsi="Arial" w:cs="Arial"/>
          <w:b/>
          <w:bCs/>
          <w:color w:val="212121"/>
          <w:kern w:val="0"/>
          <w:sz w:val="27"/>
          <w:szCs w:val="27"/>
        </w:rPr>
        <w:t>Старшая</w:t>
      </w:r>
      <w:r w:rsidRPr="000C203D">
        <w:rPr>
          <w:rFonts w:ascii="Arial" w:hAnsi="Arial" w:cs="Arial"/>
          <w:color w:val="212121"/>
          <w:kern w:val="0"/>
          <w:sz w:val="27"/>
          <w:szCs w:val="27"/>
        </w:rPr>
        <w:t> возрастная группа:</w:t>
      </w:r>
    </w:p>
    <w:p w14:paraId="065F5C4F" w14:textId="77777777" w:rsidR="00CC202C" w:rsidRPr="000C203D" w:rsidRDefault="00D10984">
      <w:pPr>
        <w:shd w:val="clear" w:color="auto" w:fill="FFFFFF"/>
        <w:spacing w:after="100" w:line="240" w:lineRule="auto"/>
        <w:ind w:firstLine="360"/>
        <w:rPr>
          <w:rFonts w:ascii="Arial" w:eastAsia="Tahoma" w:hAnsi="Arial" w:cs="Arial"/>
          <w:color w:val="212121"/>
          <w:kern w:val="0"/>
          <w:sz w:val="27"/>
          <w:szCs w:val="27"/>
        </w:rPr>
      </w:pPr>
      <w:r w:rsidRPr="000C203D">
        <w:rPr>
          <w:rFonts w:ascii="Arial" w:hAnsi="Arial" w:cs="Arial"/>
          <w:color w:val="212121"/>
          <w:kern w:val="0"/>
          <w:sz w:val="27"/>
          <w:szCs w:val="27"/>
        </w:rPr>
        <w:t>2 разнохарактерных сочинения:</w:t>
      </w:r>
    </w:p>
    <w:p w14:paraId="1364FCEC" w14:textId="77777777" w:rsidR="00CC202C" w:rsidRPr="000C203D" w:rsidRDefault="00D10984">
      <w:pPr>
        <w:pStyle w:val="a8"/>
        <w:numPr>
          <w:ilvl w:val="0"/>
          <w:numId w:val="8"/>
        </w:numPr>
        <w:shd w:val="clear" w:color="auto" w:fill="FFFFFF"/>
        <w:spacing w:before="100" w:after="100" w:line="240" w:lineRule="auto"/>
        <w:rPr>
          <w:rFonts w:ascii="Arial" w:eastAsia="Tahoma" w:hAnsi="Arial" w:cs="Arial"/>
          <w:color w:val="212121"/>
          <w:kern w:val="0"/>
          <w:sz w:val="27"/>
          <w:szCs w:val="27"/>
        </w:rPr>
      </w:pPr>
      <w:r w:rsidRPr="000C203D">
        <w:rPr>
          <w:rFonts w:ascii="Arial" w:hAnsi="Arial" w:cs="Arial"/>
          <w:color w:val="212121"/>
          <w:kern w:val="0"/>
          <w:sz w:val="27"/>
          <w:szCs w:val="27"/>
        </w:rPr>
        <w:t>произведение западноевропейского композитора эпохи Барокко;</w:t>
      </w:r>
    </w:p>
    <w:p w14:paraId="2447A262" w14:textId="77777777" w:rsidR="00CC202C" w:rsidRPr="000C203D" w:rsidRDefault="00D10984">
      <w:pPr>
        <w:pStyle w:val="a8"/>
        <w:numPr>
          <w:ilvl w:val="0"/>
          <w:numId w:val="8"/>
        </w:numPr>
        <w:shd w:val="clear" w:color="auto" w:fill="FFFFFF"/>
        <w:spacing w:before="100" w:after="100" w:line="240" w:lineRule="auto"/>
        <w:rPr>
          <w:rFonts w:ascii="Arial" w:eastAsia="Tahoma" w:hAnsi="Arial" w:cs="Arial"/>
          <w:color w:val="212121"/>
          <w:kern w:val="0"/>
          <w:sz w:val="27"/>
          <w:szCs w:val="27"/>
        </w:rPr>
      </w:pPr>
      <w:r w:rsidRPr="000C203D">
        <w:rPr>
          <w:rFonts w:ascii="Arial" w:hAnsi="Arial" w:cs="Arial"/>
          <w:color w:val="212121"/>
          <w:kern w:val="0"/>
          <w:sz w:val="27"/>
          <w:szCs w:val="27"/>
        </w:rPr>
        <w:t>одно из произведений И.С. Баха (допускаются транскрипции).</w:t>
      </w:r>
    </w:p>
    <w:p w14:paraId="6B2D495D" w14:textId="77777777" w:rsidR="00CC202C" w:rsidRPr="000C203D" w:rsidRDefault="00CC202C">
      <w:pPr>
        <w:shd w:val="clear" w:color="auto" w:fill="FFFFFF"/>
        <w:spacing w:after="100" w:line="240" w:lineRule="auto"/>
        <w:rPr>
          <w:rFonts w:ascii="Arial" w:hAnsi="Arial" w:cs="Arial"/>
          <w:b/>
          <w:bCs/>
          <w:color w:val="212121"/>
          <w:kern w:val="0"/>
          <w:sz w:val="27"/>
          <w:szCs w:val="27"/>
        </w:rPr>
      </w:pPr>
    </w:p>
    <w:p w14:paraId="436464BA" w14:textId="77777777" w:rsidR="00CC202C" w:rsidRPr="000C203D" w:rsidRDefault="00D10984">
      <w:pPr>
        <w:shd w:val="clear" w:color="auto" w:fill="FFFFFF"/>
        <w:spacing w:after="100" w:line="240" w:lineRule="auto"/>
        <w:rPr>
          <w:rFonts w:ascii="Arial" w:eastAsia="Arial Unicode MS" w:hAnsi="Arial" w:cs="Arial"/>
          <w:color w:val="000000"/>
          <w:kern w:val="0"/>
          <w:sz w:val="27"/>
          <w:szCs w:val="27"/>
        </w:rPr>
      </w:pPr>
      <w:r w:rsidRPr="000C203D">
        <w:rPr>
          <w:rFonts w:ascii="Arial" w:hAnsi="Arial" w:cs="Arial"/>
          <w:b/>
          <w:bCs/>
          <w:color w:val="212121"/>
          <w:kern w:val="0"/>
          <w:sz w:val="27"/>
          <w:szCs w:val="27"/>
        </w:rPr>
        <w:t>Время исполнения по возрастным категориям:</w:t>
      </w:r>
    </w:p>
    <w:p w14:paraId="7D791BCB" w14:textId="77777777" w:rsidR="00CC202C" w:rsidRPr="000C203D" w:rsidRDefault="00D10984">
      <w:pPr>
        <w:pStyle w:val="ab"/>
        <w:numPr>
          <w:ilvl w:val="0"/>
          <w:numId w:val="9"/>
        </w:numPr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Средняя возрастная группа </w:t>
      </w:r>
      <w:r w:rsidRPr="000C203D">
        <w:rPr>
          <w:rFonts w:ascii="Arial" w:hAnsi="Arial" w:cs="Arial"/>
          <w:sz w:val="27"/>
          <w:szCs w:val="27"/>
        </w:rPr>
        <w:t>(14–18 лет) — до 15 минут</w:t>
      </w:r>
    </w:p>
    <w:p w14:paraId="2A2C2DFD" w14:textId="77777777" w:rsidR="00CC202C" w:rsidRPr="000C203D" w:rsidRDefault="00D10984">
      <w:pPr>
        <w:pStyle w:val="ab"/>
        <w:numPr>
          <w:ilvl w:val="0"/>
          <w:numId w:val="9"/>
        </w:numPr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Старшая возрастная группа (19–25 лет) — до 25 минут</w:t>
      </w:r>
    </w:p>
    <w:p w14:paraId="7BED0478" w14:textId="77777777" w:rsidR="00CC202C" w:rsidRPr="000C203D" w:rsidRDefault="00CC202C">
      <w:pPr>
        <w:spacing w:after="220" w:line="276" w:lineRule="auto"/>
        <w:rPr>
          <w:rFonts w:ascii="Arial" w:hAnsi="Arial" w:cs="Arial"/>
          <w:b/>
          <w:bCs/>
          <w:sz w:val="27"/>
          <w:szCs w:val="27"/>
        </w:rPr>
      </w:pPr>
    </w:p>
    <w:p w14:paraId="4ED16D53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bCs/>
          <w:sz w:val="27"/>
          <w:szCs w:val="27"/>
        </w:rPr>
      </w:pPr>
      <w:r w:rsidRPr="000C203D">
        <w:rPr>
          <w:rFonts w:ascii="Arial" w:hAnsi="Arial" w:cs="Arial"/>
          <w:b/>
          <w:bCs/>
          <w:sz w:val="27"/>
          <w:szCs w:val="27"/>
        </w:rPr>
        <w:t>Второй тур:</w:t>
      </w:r>
    </w:p>
    <w:p w14:paraId="535BDB33" w14:textId="77777777" w:rsidR="00CC202C" w:rsidRPr="000C203D" w:rsidRDefault="00D10984">
      <w:pPr>
        <w:pStyle w:val="a8"/>
        <w:numPr>
          <w:ilvl w:val="0"/>
          <w:numId w:val="10"/>
        </w:num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Очный формат: произведения, исполнявшиеся в первом туре, могут исполняться повторно во втором туре. Допускается исполнение новой программы, соответствующей </w:t>
      </w:r>
      <w:r w:rsidRPr="000C203D">
        <w:rPr>
          <w:rFonts w:ascii="Arial" w:hAnsi="Arial" w:cs="Arial"/>
          <w:sz w:val="27"/>
          <w:szCs w:val="27"/>
        </w:rPr>
        <w:t>конкурсным требованиям.</w:t>
      </w:r>
    </w:p>
    <w:p w14:paraId="05F50966" w14:textId="77777777" w:rsidR="00CC202C" w:rsidRPr="000C203D" w:rsidRDefault="00D10984">
      <w:pPr>
        <w:pStyle w:val="a8"/>
        <w:numPr>
          <w:ilvl w:val="0"/>
          <w:numId w:val="10"/>
        </w:num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Дистанционный формат: участники второго тура высылают ссылку на новую программу, соответствующую конкурсным требованиям, не позднее 25 января 2025 г.</w:t>
      </w:r>
    </w:p>
    <w:p w14:paraId="247647AD" w14:textId="54DF930F" w:rsidR="00CC202C" w:rsidRPr="000C203D" w:rsidRDefault="00D10984">
      <w:pPr>
        <w:spacing w:after="220" w:line="240" w:lineRule="auto"/>
        <w:rPr>
          <w:rFonts w:ascii="Arial" w:hAnsi="Arial" w:cs="Arial"/>
          <w:b/>
          <w:sz w:val="27"/>
          <w:szCs w:val="27"/>
        </w:rPr>
      </w:pPr>
      <w:r w:rsidRPr="00867BE6">
        <w:rPr>
          <w:rFonts w:ascii="Arial" w:hAnsi="Arial" w:cs="Arial"/>
          <w:b/>
          <w:bCs/>
          <w:sz w:val="27"/>
          <w:szCs w:val="27"/>
        </w:rPr>
        <w:t>Участники 2-го (очного) тура могут выступать со своим или дежурным концертмейстеро</w:t>
      </w:r>
      <w:r w:rsidRPr="00867BE6">
        <w:rPr>
          <w:rFonts w:ascii="Arial" w:hAnsi="Arial" w:cs="Arial"/>
          <w:b/>
          <w:bCs/>
          <w:sz w:val="27"/>
          <w:szCs w:val="27"/>
        </w:rPr>
        <w:t>м, что обязательно указывается в конкурсной заявке.</w:t>
      </w:r>
      <w:r w:rsidRPr="00867BE6">
        <w:rPr>
          <w:rFonts w:ascii="Arial" w:hAnsi="Arial" w:cs="Arial"/>
          <w:sz w:val="27"/>
          <w:szCs w:val="27"/>
        </w:rPr>
        <w:t xml:space="preserve"> Нотный материал для дежурного концертмейстера должен быть отправлен письмом с пометкой «Нотный материал» (ноты, написанные от руки, не принимаются) на E-</w:t>
      </w:r>
      <w:proofErr w:type="spellStart"/>
      <w:r w:rsidRPr="00867BE6">
        <w:rPr>
          <w:rFonts w:ascii="Arial" w:hAnsi="Arial" w:cs="Arial"/>
          <w:sz w:val="27"/>
          <w:szCs w:val="27"/>
        </w:rPr>
        <w:t>mail</w:t>
      </w:r>
      <w:proofErr w:type="spellEnd"/>
      <w:r w:rsidRPr="00867BE6">
        <w:rPr>
          <w:rFonts w:ascii="Arial" w:hAnsi="Arial" w:cs="Arial"/>
          <w:sz w:val="27"/>
          <w:szCs w:val="27"/>
        </w:rPr>
        <w:t xml:space="preserve">: </w:t>
      </w:r>
      <w:r w:rsidRPr="00867BE6">
        <w:rPr>
          <w:rFonts w:ascii="Arial" w:hAnsi="Arial" w:cs="Arial"/>
          <w:color w:val="0ECB20"/>
          <w:sz w:val="27"/>
          <w:szCs w:val="27"/>
          <w:u w:val="single"/>
        </w:rPr>
        <w:t>konkurs_MGK@art-center.ru.</w:t>
      </w:r>
    </w:p>
    <w:p w14:paraId="68A88579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>Оценка и призы кон</w:t>
      </w:r>
      <w:r w:rsidRPr="000C203D">
        <w:rPr>
          <w:rFonts w:ascii="Arial" w:hAnsi="Arial" w:cs="Arial"/>
          <w:b/>
          <w:sz w:val="27"/>
          <w:szCs w:val="27"/>
        </w:rPr>
        <w:t>курса</w:t>
      </w:r>
    </w:p>
    <w:p w14:paraId="241553B1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Оценка жюри производится по 10-балльной системе закрытым голосованием.</w:t>
      </w:r>
    </w:p>
    <w:p w14:paraId="613873E2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4DC282FC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lastRenderedPageBreak/>
        <w:t xml:space="preserve">Оценка члена жюри, ученик которого принимает участие в данном конкурсе, при подсчете </w:t>
      </w:r>
      <w:r w:rsidRPr="000C203D">
        <w:rPr>
          <w:rFonts w:ascii="Arial" w:hAnsi="Arial" w:cs="Arial"/>
          <w:sz w:val="27"/>
          <w:szCs w:val="27"/>
        </w:rPr>
        <w:t>баллов не учитывается.</w:t>
      </w:r>
    </w:p>
    <w:p w14:paraId="3A27EE3D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>Жюри имеет право:</w:t>
      </w:r>
    </w:p>
    <w:p w14:paraId="28EB7B32" w14:textId="77777777" w:rsidR="00CC202C" w:rsidRPr="000C203D" w:rsidRDefault="00D10984">
      <w:pPr>
        <w:numPr>
          <w:ilvl w:val="0"/>
          <w:numId w:val="11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присуждать звания лауреата I, II, III степени;</w:t>
      </w:r>
    </w:p>
    <w:p w14:paraId="6CE1E941" w14:textId="77777777" w:rsidR="00CC202C" w:rsidRPr="000C203D" w:rsidRDefault="00D10984">
      <w:pPr>
        <w:numPr>
          <w:ilvl w:val="0"/>
          <w:numId w:val="11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присуждать не все звания;</w:t>
      </w:r>
    </w:p>
    <w:p w14:paraId="31BE5661" w14:textId="77777777" w:rsidR="00CC202C" w:rsidRPr="000C203D" w:rsidRDefault="00D10984">
      <w:pPr>
        <w:numPr>
          <w:ilvl w:val="0"/>
          <w:numId w:val="11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делить звания между лауреатами;</w:t>
      </w:r>
    </w:p>
    <w:p w14:paraId="6E049323" w14:textId="77777777" w:rsidR="00CC202C" w:rsidRPr="000C203D" w:rsidRDefault="00D10984">
      <w:pPr>
        <w:numPr>
          <w:ilvl w:val="0"/>
          <w:numId w:val="11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присуждать звание «Дипломант международного конкурса» I, II, III степени;</w:t>
      </w:r>
    </w:p>
    <w:p w14:paraId="408DA5FE" w14:textId="77777777" w:rsidR="00CC202C" w:rsidRPr="000C203D" w:rsidRDefault="00D10984">
      <w:pPr>
        <w:numPr>
          <w:ilvl w:val="0"/>
          <w:numId w:val="11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присуждать специальные призы</w:t>
      </w:r>
    </w:p>
    <w:p w14:paraId="1525D9EB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Решение</w:t>
      </w:r>
      <w:r w:rsidRPr="000C203D">
        <w:rPr>
          <w:rFonts w:ascii="Arial" w:hAnsi="Arial" w:cs="Arial"/>
          <w:sz w:val="27"/>
          <w:szCs w:val="27"/>
        </w:rPr>
        <w:t xml:space="preserve"> жюри окончательно и пересмотру не подлежит.</w:t>
      </w:r>
    </w:p>
    <w:p w14:paraId="6825BB46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bookmarkStart w:id="3" w:name="_Hlk169860454"/>
      <w:bookmarkStart w:id="4" w:name="_Hlk169861618"/>
      <w:bookmarkStart w:id="5" w:name="_Hlk169861292"/>
      <w:r w:rsidRPr="000C203D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7" w:tgtFrame="_blank" w:history="1">
        <w:r w:rsidRPr="000C203D">
          <w:rPr>
            <w:rStyle w:val="a3"/>
            <w:rFonts w:ascii="Arial" w:hAnsi="Arial" w:cs="Arial"/>
            <w:color w:val="0ECB20"/>
            <w:spacing w:val="1"/>
            <w:sz w:val="27"/>
            <w:szCs w:val="27"/>
            <w:shd w:val="clear" w:color="auto" w:fill="FFFFFF"/>
          </w:rPr>
          <w:t>на сайте МК «Арт-Ц</w:t>
        </w:r>
        <w:r w:rsidRPr="000C203D">
          <w:rPr>
            <w:rStyle w:val="a3"/>
            <w:rFonts w:ascii="Arial" w:hAnsi="Arial" w:cs="Arial"/>
            <w:color w:val="0ECB20"/>
            <w:spacing w:val="1"/>
            <w:sz w:val="27"/>
            <w:szCs w:val="27"/>
            <w:shd w:val="clear" w:color="auto" w:fill="FFFFFF"/>
          </w:rPr>
          <w:t>ентр Плюс»</w:t>
        </w:r>
      </w:hyperlink>
    </w:p>
    <w:p w14:paraId="0A8E6165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Результаты 2-го тура конкурса объявляются после прослушивания каждой номинации в конце конкурсного дня</w:t>
      </w:r>
      <w:bookmarkEnd w:id="3"/>
      <w:r w:rsidRPr="000C203D">
        <w:rPr>
          <w:rFonts w:ascii="Arial" w:hAnsi="Arial" w:cs="Arial"/>
          <w:sz w:val="27"/>
          <w:szCs w:val="27"/>
        </w:rPr>
        <w:t>.</w:t>
      </w:r>
    </w:p>
    <w:p w14:paraId="133B27ED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заявке. </w:t>
      </w:r>
      <w:r w:rsidRPr="000C203D">
        <w:rPr>
          <w:rFonts w:ascii="Arial" w:hAnsi="Arial" w:cs="Arial"/>
          <w:b/>
          <w:bCs/>
          <w:color w:val="000000"/>
          <w:spacing w:val="1"/>
          <w:sz w:val="27"/>
          <w:szCs w:val="27"/>
          <w:shd w:val="clear" w:color="auto" w:fill="FFFFFF"/>
        </w:rPr>
        <w:t xml:space="preserve">При очном участии </w:t>
      </w:r>
      <w:r w:rsidRPr="000C203D">
        <w:rPr>
          <w:rFonts w:ascii="Arial" w:hAnsi="Arial" w:cs="Arial"/>
          <w:b/>
          <w:bCs/>
          <w:color w:val="000000"/>
          <w:spacing w:val="1"/>
          <w:sz w:val="27"/>
          <w:szCs w:val="27"/>
          <w:shd w:val="clear" w:color="auto" w:fill="FFFFFF"/>
        </w:rPr>
        <w:t>обязательно указание хронометража в заявке.</w:t>
      </w:r>
      <w:bookmarkEnd w:id="4"/>
    </w:p>
    <w:bookmarkEnd w:id="5"/>
    <w:p w14:paraId="5F776678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График репетиций участников, прошедших на второй (очный) тур, будет объявлен не позднее 25 января 2025 года.</w:t>
      </w:r>
    </w:p>
    <w:p w14:paraId="02A2EC5A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</w:t>
      </w:r>
      <w:r w:rsidRPr="000C203D">
        <w:rPr>
          <w:rFonts w:ascii="Arial" w:hAnsi="Arial" w:cs="Arial"/>
          <w:sz w:val="27"/>
          <w:szCs w:val="27"/>
        </w:rPr>
        <w:t>пе.</w:t>
      </w:r>
    </w:p>
    <w:p w14:paraId="3F51FB9B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Победители конкурса обязаны безвозмездно принять участие в заключительном Гала-концерте конкурса, а также в дополнительных концертах, утвержденных Оргкомитетом.</w:t>
      </w:r>
    </w:p>
    <w:p w14:paraId="472E4B04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Оргкомитет оставляет за собой право на трансляцию прослушиваний и концертов конкурса по тел</w:t>
      </w:r>
      <w:r w:rsidRPr="000C203D">
        <w:rPr>
          <w:rFonts w:ascii="Arial" w:hAnsi="Arial" w:cs="Arial"/>
          <w:sz w:val="27"/>
          <w:szCs w:val="27"/>
        </w:rPr>
        <w:t>евидению и радио, производить аудио и видеозаписи.</w:t>
      </w:r>
    </w:p>
    <w:p w14:paraId="5600C3E6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</w:t>
      </w:r>
      <w:r w:rsidRPr="000C203D">
        <w:rPr>
          <w:rFonts w:ascii="Arial" w:hAnsi="Arial" w:cs="Arial"/>
          <w:sz w:val="27"/>
          <w:szCs w:val="27"/>
        </w:rPr>
        <w:t xml:space="preserve">к получает диплом «Участника международного конкурса «Территория творчества». </w:t>
      </w:r>
    </w:p>
    <w:p w14:paraId="76683A86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lastRenderedPageBreak/>
        <w:t>Условия участия в конкурсе</w:t>
      </w:r>
    </w:p>
    <w:p w14:paraId="179A1D12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0C203D">
        <w:rPr>
          <w:rFonts w:ascii="Arial" w:hAnsi="Arial" w:cs="Arial"/>
          <w:b/>
          <w:sz w:val="27"/>
          <w:szCs w:val="27"/>
        </w:rPr>
        <w:t xml:space="preserve"> с 01 ноября п</w:t>
      </w:r>
      <w:r w:rsidRPr="000C203D">
        <w:rPr>
          <w:rFonts w:ascii="Arial" w:hAnsi="Arial" w:cs="Arial"/>
          <w:b/>
          <w:sz w:val="27"/>
          <w:szCs w:val="27"/>
        </w:rPr>
        <w:t>о 02 декабря 2024 года (включительно).</w:t>
      </w:r>
      <w:r w:rsidRPr="000C203D">
        <w:rPr>
          <w:rFonts w:ascii="Arial" w:hAnsi="Arial" w:cs="Arial"/>
          <w:sz w:val="27"/>
          <w:szCs w:val="27"/>
        </w:rPr>
        <w:t xml:space="preserve"> </w:t>
      </w:r>
    </w:p>
    <w:p w14:paraId="0E59EEB8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При подаче заявки необходимо также выслать на электронный адрес оргкомитета </w:t>
      </w:r>
      <w:hyperlink r:id="rId8" w:history="1">
        <w:r w:rsidRPr="000C203D">
          <w:rPr>
            <w:rStyle w:val="a3"/>
            <w:rFonts w:ascii="Arial" w:hAnsi="Arial" w:cs="Arial"/>
            <w:sz w:val="27"/>
            <w:szCs w:val="27"/>
          </w:rPr>
          <w:t>konkurs_MGK@art-center.ru</w:t>
        </w:r>
      </w:hyperlink>
      <w:r w:rsidRPr="000C203D">
        <w:rPr>
          <w:rFonts w:ascii="Arial" w:hAnsi="Arial" w:cs="Arial"/>
          <w:sz w:val="27"/>
          <w:szCs w:val="27"/>
        </w:rPr>
        <w:t xml:space="preserve">: </w:t>
      </w:r>
      <w:r w:rsidRPr="000C203D">
        <w:rPr>
          <w:rFonts w:ascii="Arial" w:hAnsi="Arial" w:cs="Arial"/>
          <w:sz w:val="27"/>
          <w:szCs w:val="27"/>
          <w:u w:val="single"/>
        </w:rPr>
        <w:t>копию свидетельства о рождении (для участников до 14 лет) или ко</w:t>
      </w:r>
      <w:r w:rsidRPr="000C203D">
        <w:rPr>
          <w:rFonts w:ascii="Arial" w:hAnsi="Arial" w:cs="Arial"/>
          <w:sz w:val="27"/>
          <w:szCs w:val="27"/>
          <w:u w:val="single"/>
        </w:rPr>
        <w:t xml:space="preserve">пию паспорта. </w:t>
      </w:r>
    </w:p>
    <w:p w14:paraId="2556E175" w14:textId="77777777" w:rsidR="00FC725E" w:rsidRDefault="00FC725E" w:rsidP="00FC725E">
      <w:pPr>
        <w:spacing w:after="220"/>
        <w:rPr>
          <w:rFonts w:ascii="Arial" w:hAnsi="Arial" w:cs="Arial"/>
          <w:kern w:val="0"/>
          <w:sz w:val="27"/>
          <w:szCs w:val="27"/>
          <w:u w:val="single"/>
          <w:lang w:eastAsia="ru-RU"/>
          <w14:ligatures w14:val="none"/>
        </w:rPr>
      </w:pPr>
      <w:r>
        <w:rPr>
          <w:rFonts w:ascii="Arial" w:hAnsi="Arial" w:cs="Arial"/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2EC98374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  <w:u w:val="single"/>
        </w:rPr>
      </w:pPr>
      <w:r w:rsidRPr="000C203D">
        <w:rPr>
          <w:rFonts w:ascii="Arial" w:hAnsi="Arial" w:cs="Arial"/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03C4C5DF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>Сумма вступительного взноса составляет:</w:t>
      </w:r>
    </w:p>
    <w:p w14:paraId="2EE7AF7D" w14:textId="77777777" w:rsidR="00CC202C" w:rsidRPr="000C203D" w:rsidRDefault="00D10984">
      <w:pPr>
        <w:pStyle w:val="a8"/>
        <w:numPr>
          <w:ilvl w:val="0"/>
          <w:numId w:val="12"/>
        </w:numPr>
        <w:spacing w:after="0" w:line="276" w:lineRule="auto"/>
        <w:ind w:right="40"/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</w:pPr>
      <w:r w:rsidRPr="000C203D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1-й тур: 2500 рублей </w:t>
      </w:r>
    </w:p>
    <w:p w14:paraId="09442016" w14:textId="77777777" w:rsidR="00CC202C" w:rsidRPr="000C203D" w:rsidRDefault="00D10984">
      <w:pPr>
        <w:numPr>
          <w:ilvl w:val="0"/>
          <w:numId w:val="12"/>
        </w:numPr>
        <w:spacing w:after="0" w:line="276" w:lineRule="auto"/>
        <w:ind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2-й </w:t>
      </w:r>
      <w:r w:rsidRPr="000C203D">
        <w:rPr>
          <w:rFonts w:ascii="Arial" w:hAnsi="Arial" w:cs="Arial"/>
          <w:sz w:val="27"/>
          <w:szCs w:val="27"/>
        </w:rPr>
        <w:t>тур: 3500 рублей (очное участие) / 3000 рублей (заочное участие)</w:t>
      </w:r>
      <w:r w:rsidRPr="000C203D">
        <w:rPr>
          <w:rFonts w:ascii="Arial" w:hAnsi="Arial" w:cs="Arial"/>
          <w:sz w:val="27"/>
          <w:szCs w:val="27"/>
        </w:rPr>
        <w:br/>
      </w:r>
    </w:p>
    <w:p w14:paraId="158F9F05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41D4510B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Оплат</w:t>
      </w:r>
      <w:r w:rsidRPr="000C203D">
        <w:rPr>
          <w:rFonts w:ascii="Arial" w:hAnsi="Arial" w:cs="Arial"/>
          <w:sz w:val="27"/>
          <w:szCs w:val="27"/>
        </w:rPr>
        <w:t>а 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0935DEC1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Расходы по банковскому переводу участник берет на себя.</w:t>
      </w:r>
    </w:p>
    <w:p w14:paraId="72AF37B9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Участникам 2-го тура вместе с</w:t>
      </w:r>
      <w:r w:rsidRPr="000C203D">
        <w:rPr>
          <w:rFonts w:ascii="Arial" w:hAnsi="Arial" w:cs="Arial"/>
          <w:sz w:val="27"/>
          <w:szCs w:val="27"/>
        </w:rPr>
        <w:t xml:space="preserve"> уведомлением о прохождении на второй тур оргкомитет конкурса направляет квитанцию на оплату следующего платежа.</w:t>
      </w:r>
    </w:p>
    <w:p w14:paraId="46F9BB74" w14:textId="77777777" w:rsidR="00CC202C" w:rsidRPr="000C203D" w:rsidRDefault="00D10984">
      <w:pPr>
        <w:spacing w:after="220"/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</w:pPr>
      <w:r w:rsidRPr="000C203D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759925BB" w14:textId="77777777" w:rsidR="00CC202C" w:rsidRPr="000C203D" w:rsidRDefault="00D10984">
      <w:pPr>
        <w:spacing w:after="22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Проезд, проживание и питание участники конкурса оплачивают </w:t>
      </w:r>
      <w:r w:rsidRPr="000C203D">
        <w:rPr>
          <w:rFonts w:ascii="Arial" w:hAnsi="Arial" w:cs="Arial"/>
          <w:sz w:val="27"/>
          <w:szCs w:val="27"/>
        </w:rPr>
        <w:t>самостоятельно.</w:t>
      </w:r>
    </w:p>
    <w:p w14:paraId="0F4979E9" w14:textId="77777777" w:rsidR="00CC202C" w:rsidRPr="000C203D" w:rsidRDefault="00D10984">
      <w:pPr>
        <w:spacing w:after="220"/>
        <w:rPr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Оргкомитет оставляет за собой право вносить изменения в Положение конкурса.</w:t>
      </w:r>
    </w:p>
    <w:p w14:paraId="10D6A69B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lastRenderedPageBreak/>
        <w:t>График конкурсных дней</w:t>
      </w:r>
    </w:p>
    <w:p w14:paraId="15C23C50" w14:textId="77777777" w:rsidR="00CC202C" w:rsidRPr="000C203D" w:rsidRDefault="00D10984">
      <w:pPr>
        <w:numPr>
          <w:ilvl w:val="0"/>
          <w:numId w:val="13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4–25 декабря – прослушивание конкурсных выступлений 1-го тура;</w:t>
      </w:r>
    </w:p>
    <w:p w14:paraId="57907EC9" w14:textId="77777777" w:rsidR="00CC202C" w:rsidRPr="000C203D" w:rsidRDefault="00D10984">
      <w:pPr>
        <w:numPr>
          <w:ilvl w:val="0"/>
          <w:numId w:val="13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28 декабря 2024 г. – объявление результатов 1-го тура;</w:t>
      </w:r>
    </w:p>
    <w:p w14:paraId="5D5CC7EC" w14:textId="77777777" w:rsidR="00CC202C" w:rsidRPr="000C203D" w:rsidRDefault="00D10984">
      <w:pPr>
        <w:numPr>
          <w:ilvl w:val="0"/>
          <w:numId w:val="13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bCs/>
          <w:sz w:val="27"/>
          <w:szCs w:val="27"/>
        </w:rPr>
        <w:t xml:space="preserve">1–7 февраля 2025 г. – </w:t>
      </w:r>
      <w:r w:rsidRPr="000C203D">
        <w:rPr>
          <w:rFonts w:ascii="Arial" w:hAnsi="Arial" w:cs="Arial"/>
          <w:sz w:val="27"/>
          <w:szCs w:val="27"/>
        </w:rPr>
        <w:t>п</w:t>
      </w:r>
      <w:r w:rsidRPr="000C203D">
        <w:rPr>
          <w:rFonts w:ascii="Arial" w:hAnsi="Arial" w:cs="Arial"/>
          <w:sz w:val="27"/>
          <w:szCs w:val="27"/>
        </w:rPr>
        <w:t>рослушивание конкурсных выступлений 2-го тура (</w:t>
      </w:r>
      <w:r w:rsidRPr="000C203D">
        <w:rPr>
          <w:rFonts w:ascii="Arial" w:hAnsi="Arial" w:cs="Arial"/>
          <w:b/>
          <w:bCs/>
          <w:sz w:val="27"/>
          <w:szCs w:val="27"/>
        </w:rPr>
        <w:t>дистанционный формат</w:t>
      </w:r>
      <w:r w:rsidRPr="000C203D">
        <w:rPr>
          <w:rFonts w:ascii="Arial" w:hAnsi="Arial" w:cs="Arial"/>
          <w:sz w:val="27"/>
          <w:szCs w:val="27"/>
        </w:rPr>
        <w:t>)</w:t>
      </w:r>
      <w:r w:rsidRPr="000C203D">
        <w:rPr>
          <w:rFonts w:ascii="Arial" w:hAnsi="Arial" w:cs="Arial"/>
          <w:bCs/>
          <w:sz w:val="27"/>
          <w:szCs w:val="27"/>
        </w:rPr>
        <w:t>;</w:t>
      </w:r>
    </w:p>
    <w:p w14:paraId="4B6E9FF2" w14:textId="77777777" w:rsidR="00CC202C" w:rsidRPr="000C203D" w:rsidRDefault="00D10984">
      <w:pPr>
        <w:numPr>
          <w:ilvl w:val="0"/>
          <w:numId w:val="13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 xml:space="preserve">3–5 </w:t>
      </w:r>
      <w:r w:rsidRPr="000C203D">
        <w:rPr>
          <w:rFonts w:ascii="Arial" w:hAnsi="Arial" w:cs="Arial"/>
          <w:bCs/>
          <w:sz w:val="27"/>
          <w:szCs w:val="27"/>
        </w:rPr>
        <w:t xml:space="preserve">февраля 2025 г. – </w:t>
      </w:r>
      <w:r w:rsidRPr="000C203D">
        <w:rPr>
          <w:rFonts w:ascii="Arial" w:hAnsi="Arial" w:cs="Arial"/>
          <w:sz w:val="27"/>
          <w:szCs w:val="27"/>
        </w:rPr>
        <w:t>прослушивание конкурсных выступлений 2-го тура (</w:t>
      </w:r>
      <w:r w:rsidRPr="000C203D">
        <w:rPr>
          <w:rFonts w:ascii="Arial" w:hAnsi="Arial" w:cs="Arial"/>
          <w:b/>
          <w:bCs/>
          <w:sz w:val="27"/>
          <w:szCs w:val="27"/>
        </w:rPr>
        <w:t>очный формат</w:t>
      </w:r>
      <w:r w:rsidRPr="000C203D">
        <w:rPr>
          <w:rFonts w:ascii="Arial" w:hAnsi="Arial" w:cs="Arial"/>
          <w:sz w:val="27"/>
          <w:szCs w:val="27"/>
        </w:rPr>
        <w:t>), класс 47, 1-й учебный корпус</w:t>
      </w:r>
      <w:r w:rsidRPr="000C203D">
        <w:rPr>
          <w:rFonts w:ascii="Arial" w:hAnsi="Arial" w:cs="Arial"/>
          <w:bCs/>
          <w:sz w:val="27"/>
          <w:szCs w:val="27"/>
        </w:rPr>
        <w:t>;</w:t>
      </w:r>
    </w:p>
    <w:p w14:paraId="6DFAE060" w14:textId="77777777" w:rsidR="00CC202C" w:rsidRPr="000C203D" w:rsidRDefault="00D10984">
      <w:pPr>
        <w:numPr>
          <w:ilvl w:val="0"/>
          <w:numId w:val="13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bCs/>
          <w:sz w:val="27"/>
          <w:szCs w:val="27"/>
        </w:rPr>
        <w:t xml:space="preserve">8 февраля 2025 г. – заключительный Гала-концерт победителей конкурса и </w:t>
      </w:r>
      <w:r w:rsidRPr="000C203D">
        <w:rPr>
          <w:rFonts w:ascii="Arial" w:hAnsi="Arial" w:cs="Arial"/>
          <w:bCs/>
          <w:sz w:val="27"/>
          <w:szCs w:val="27"/>
        </w:rPr>
        <w:t>вручение дипломов (начало в 14.00, Малый зал консерватории).</w:t>
      </w:r>
    </w:p>
    <w:p w14:paraId="4C7EBE6E" w14:textId="77777777" w:rsidR="00CC202C" w:rsidRPr="000C203D" w:rsidRDefault="00CC202C">
      <w:pPr>
        <w:spacing w:line="276" w:lineRule="auto"/>
        <w:ind w:left="660" w:right="40"/>
        <w:rPr>
          <w:rFonts w:ascii="Arial" w:hAnsi="Arial" w:cs="Arial"/>
          <w:sz w:val="27"/>
          <w:szCs w:val="27"/>
        </w:rPr>
      </w:pPr>
    </w:p>
    <w:p w14:paraId="355C7008" w14:textId="77777777" w:rsidR="00CC202C" w:rsidRPr="000C203D" w:rsidRDefault="00D10984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0C203D">
        <w:rPr>
          <w:rFonts w:ascii="Arial" w:hAnsi="Arial" w:cs="Arial"/>
          <w:b/>
          <w:sz w:val="27"/>
          <w:szCs w:val="27"/>
        </w:rPr>
        <w:t>Дополнительная информация</w:t>
      </w:r>
    </w:p>
    <w:p w14:paraId="3642B63A" w14:textId="77777777" w:rsidR="00CC202C" w:rsidRPr="000C203D" w:rsidRDefault="00D10984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Место проведения конкурсных мероприятий: город Москва, Московская государственная консерватория имени П.И. Чайковского.</w:t>
      </w:r>
    </w:p>
    <w:p w14:paraId="313663AA" w14:textId="0A3C7B7B" w:rsidR="00CC202C" w:rsidRDefault="00D10984" w:rsidP="005A443C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0C203D">
        <w:rPr>
          <w:rFonts w:ascii="Arial" w:hAnsi="Arial" w:cs="Arial"/>
          <w:sz w:val="27"/>
          <w:szCs w:val="27"/>
        </w:rPr>
        <w:t>Полную информацию о I</w:t>
      </w:r>
      <w:r w:rsidRPr="000C203D">
        <w:rPr>
          <w:rFonts w:ascii="Arial" w:hAnsi="Arial" w:cs="Arial"/>
          <w:sz w:val="27"/>
          <w:szCs w:val="27"/>
          <w:lang w:val="en-US"/>
        </w:rPr>
        <w:t>I</w:t>
      </w:r>
      <w:r w:rsidRPr="000C203D">
        <w:rPr>
          <w:rFonts w:ascii="Arial" w:hAnsi="Arial" w:cs="Arial"/>
          <w:sz w:val="27"/>
          <w:szCs w:val="27"/>
        </w:rPr>
        <w:t>I 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</w:t>
      </w:r>
      <w:r w:rsidRPr="000C203D">
        <w:rPr>
          <w:rFonts w:ascii="Arial" w:hAnsi="Arial" w:cs="Arial"/>
          <w:sz w:val="27"/>
          <w:szCs w:val="27"/>
        </w:rPr>
        <w:t xml:space="preserve">ов жюри, список спонсоров и призов можно найти на странице </w:t>
      </w:r>
      <w:hyperlink r:id="rId9">
        <w:r w:rsidRPr="000C203D">
          <w:rPr>
            <w:rFonts w:ascii="Arial" w:hAnsi="Arial" w:cs="Arial"/>
            <w:color w:val="0ECB20"/>
            <w:sz w:val="27"/>
            <w:szCs w:val="27"/>
            <w:u w:val="single"/>
          </w:rPr>
          <w:t>официального сайта</w:t>
        </w:r>
      </w:hyperlink>
      <w:r w:rsidRPr="000C203D">
        <w:rPr>
          <w:rFonts w:ascii="Arial" w:hAnsi="Arial" w:cs="Arial"/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5A443C" w:rsidRPr="005A443C">
        <w:rPr>
          <w:rFonts w:ascii="Arial" w:hAnsi="Arial" w:cs="Arial"/>
          <w:sz w:val="27"/>
          <w:szCs w:val="27"/>
          <w:lang w:val="ru"/>
        </w:rPr>
        <w:t>(</w:t>
      </w:r>
      <w:hyperlink r:id="rId10" w:history="1">
        <w:r w:rsidR="005A443C" w:rsidRPr="005A443C">
          <w:rPr>
            <w:rStyle w:val="a3"/>
            <w:rFonts w:ascii="Arial" w:hAnsi="Arial" w:cs="Arial"/>
            <w:sz w:val="27"/>
            <w:szCs w:val="27"/>
            <w:lang w:val="ru"/>
          </w:rPr>
          <w:t>гиперссылка на положение</w:t>
        </w:r>
      </w:hyperlink>
      <w:r w:rsidR="005A443C" w:rsidRPr="005A443C">
        <w:rPr>
          <w:rFonts w:ascii="Arial" w:hAnsi="Arial" w:cs="Arial"/>
          <w:sz w:val="27"/>
          <w:szCs w:val="27"/>
          <w:lang w:val="ru"/>
        </w:rPr>
        <w:t>); соци</w:t>
      </w:r>
      <w:bookmarkStart w:id="6" w:name="_GoBack"/>
      <w:bookmarkEnd w:id="6"/>
      <w:r w:rsidR="005A443C" w:rsidRPr="005A443C">
        <w:rPr>
          <w:rFonts w:ascii="Arial" w:hAnsi="Arial" w:cs="Arial"/>
          <w:sz w:val="27"/>
          <w:szCs w:val="27"/>
          <w:lang w:val="ru"/>
        </w:rPr>
        <w:t>альных сетях.</w:t>
      </w:r>
    </w:p>
    <w:sectPr w:rsidR="00CC202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19E6" w14:textId="77777777" w:rsidR="00D10984" w:rsidRDefault="00D10984">
      <w:pPr>
        <w:spacing w:line="240" w:lineRule="auto"/>
      </w:pPr>
      <w:r>
        <w:separator/>
      </w:r>
    </w:p>
  </w:endnote>
  <w:endnote w:type="continuationSeparator" w:id="0">
    <w:p w14:paraId="1354A0F2" w14:textId="77777777" w:rsidR="00D10984" w:rsidRDefault="00D10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4CD8" w14:textId="77777777" w:rsidR="00D10984" w:rsidRDefault="00D10984">
      <w:pPr>
        <w:spacing w:after="0"/>
      </w:pPr>
      <w:r>
        <w:separator/>
      </w:r>
    </w:p>
  </w:footnote>
  <w:footnote w:type="continuationSeparator" w:id="0">
    <w:p w14:paraId="44FAEA81" w14:textId="77777777" w:rsidR="00D10984" w:rsidRDefault="00D109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2809F7"/>
    <w:multiLevelType w:val="multilevel"/>
    <w:tmpl w:val="132809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0D27ED"/>
    <w:multiLevelType w:val="multilevel"/>
    <w:tmpl w:val="3B0D27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247328"/>
    <w:multiLevelType w:val="multilevel"/>
    <w:tmpl w:val="70247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C47A4E"/>
    <w:multiLevelType w:val="multilevel"/>
    <w:tmpl w:val="7AC47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01"/>
    <w:rsid w:val="00080C28"/>
    <w:rsid w:val="000C203D"/>
    <w:rsid w:val="000D3AE1"/>
    <w:rsid w:val="00117610"/>
    <w:rsid w:val="00185E56"/>
    <w:rsid w:val="00342F5F"/>
    <w:rsid w:val="00343213"/>
    <w:rsid w:val="00361701"/>
    <w:rsid w:val="003741C9"/>
    <w:rsid w:val="003A484B"/>
    <w:rsid w:val="00431B6E"/>
    <w:rsid w:val="0045136D"/>
    <w:rsid w:val="004941D3"/>
    <w:rsid w:val="004D1C4F"/>
    <w:rsid w:val="00546A42"/>
    <w:rsid w:val="00580A53"/>
    <w:rsid w:val="00586537"/>
    <w:rsid w:val="005A443C"/>
    <w:rsid w:val="005A6152"/>
    <w:rsid w:val="005B667E"/>
    <w:rsid w:val="005D00ED"/>
    <w:rsid w:val="005D4EEC"/>
    <w:rsid w:val="00680484"/>
    <w:rsid w:val="007142B4"/>
    <w:rsid w:val="00722F21"/>
    <w:rsid w:val="007256C8"/>
    <w:rsid w:val="00750384"/>
    <w:rsid w:val="00780854"/>
    <w:rsid w:val="007C0D94"/>
    <w:rsid w:val="00825809"/>
    <w:rsid w:val="00867BE6"/>
    <w:rsid w:val="008D7CDD"/>
    <w:rsid w:val="00931953"/>
    <w:rsid w:val="009C038A"/>
    <w:rsid w:val="009D04C7"/>
    <w:rsid w:val="00A42687"/>
    <w:rsid w:val="00A64AFC"/>
    <w:rsid w:val="00B3665A"/>
    <w:rsid w:val="00B410B0"/>
    <w:rsid w:val="00B432A8"/>
    <w:rsid w:val="00B50C69"/>
    <w:rsid w:val="00BE7AA2"/>
    <w:rsid w:val="00C14A5B"/>
    <w:rsid w:val="00C83F04"/>
    <w:rsid w:val="00C91A71"/>
    <w:rsid w:val="00CB72A4"/>
    <w:rsid w:val="00CC202C"/>
    <w:rsid w:val="00CC59CE"/>
    <w:rsid w:val="00D006AA"/>
    <w:rsid w:val="00D10984"/>
    <w:rsid w:val="00D12D51"/>
    <w:rsid w:val="00DE4DAA"/>
    <w:rsid w:val="00E305F2"/>
    <w:rsid w:val="00E3707D"/>
    <w:rsid w:val="00E4640E"/>
    <w:rsid w:val="00E64529"/>
    <w:rsid w:val="00E70929"/>
    <w:rsid w:val="00E90047"/>
    <w:rsid w:val="00ED2ADD"/>
    <w:rsid w:val="00EE41E7"/>
    <w:rsid w:val="00FC725E"/>
    <w:rsid w:val="3D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745"/>
  <w15:docId w15:val="{77AE952C-2C38-4614-9362-AA1026FD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qFormat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ab">
    <w:name w:val="No Spacing"/>
    <w:uiPriority w:val="1"/>
    <w:qFormat/>
    <w:rPr>
      <w:kern w:val="2"/>
      <w:sz w:val="22"/>
      <w:szCs w:val="22"/>
      <w:lang w:eastAsia="en-US"/>
      <w14:ligatures w14:val="standardContextual"/>
    </w:rPr>
  </w:style>
  <w:style w:type="character" w:styleId="ac">
    <w:name w:val="Unresolved Mention"/>
    <w:basedOn w:val="a0"/>
    <w:uiPriority w:val="99"/>
    <w:semiHidden/>
    <w:unhideWhenUsed/>
    <w:rsid w:val="005A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35</cp:revision>
  <dcterms:created xsi:type="dcterms:W3CDTF">2024-04-30T07:31:00Z</dcterms:created>
  <dcterms:modified xsi:type="dcterms:W3CDTF">2024-07-18T14:41:00Z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C3A349E2053040368B89BE3E73568CA0_12</vt:lpwstr>
  </property>
</Properties>
</file>